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margin" w:tblpXSpec="center" w:leftFromText="141" w:rightFromText="141" w:tblpY="199"/>
        <w:tblW w:w="92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9212"/>
      </w:tblGrid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Niveau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 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Terminale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Type de ressources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 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Activité faisable en classe entière ou en demi-groupe (sur une séance de TP)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Notions et contenus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 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Calibri"/>
              </w:rPr>
              <w:t>Évolution temporelle d’une population de noyaux radioactifs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Calibri"/>
              </w:rPr>
              <w:t>Constante radioactive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Calibri"/>
              </w:rPr>
              <w:t>Loi de décroissance radioactive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cs="Calibri"/>
              </w:rPr>
              <w:t>Temps de demi-vie</w:t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Capacités exigibles travaillées ou évaluées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 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Calibri"/>
              </w:rPr>
              <w:t>Établir l’expression de l’évolution temporelle de la population de noyaux radioactifs.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Calibri"/>
              </w:rPr>
              <w:t>Exploiter la loi et une courbe de décroissance radioactive.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Calibri"/>
                <w:color w:val="0070C0"/>
              </w:rPr>
              <w:t>Capacité mathématique : Résoudre une équation différentielle linéaire du premier ordre à coefficients constants.</w:t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Nature de l’activité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 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Calibri" w:hAnsi="Calibri" w:cs="Calibri"/>
                <w:lang w:eastAsia="fr-FR"/>
              </w:rPr>
            </w:pPr>
            <w:r>
              <w:rPr>
                <w:rFonts w:cs="Calibri"/>
                <w:lang w:eastAsia="fr-FR"/>
              </w:rPr>
              <w:t>Utiliser un programme python pour simuler la décroissance radioactive d’une population de noyaux donnés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Calibri" w:hAnsi="Calibri" w:cs="Calibri"/>
                <w:lang w:eastAsia="fr-FR"/>
              </w:rPr>
            </w:pPr>
            <w:r>
              <w:rPr>
                <w:rFonts w:cs="Calibri"/>
                <w:lang w:eastAsia="fr-FR"/>
              </w:rPr>
              <w:t>Établir puis résoudre l’équation différentielle décrivant le phénomène étudié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Résumé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 xml:space="preserve"> 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  <w:t>Simulation d’une décroissance radioactive en fonction du nombre de noyaux initialement présents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  <w:t>Établissement de l’équation différentielle qui régit le phénomène puis résolution.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  <w:t>Confrontation des deux points de vue.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Mots clefs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> 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simulation d’une loi de décroissance radioactive, python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92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  <w:t>Académie où a été produite la ressource</w:t>
            </w:r>
            <w:r>
              <w:rPr>
                <w:rFonts w:cs="Arial" w:ascii="Arial" w:hAnsi="Arial"/>
                <w:b/>
                <w:sz w:val="20"/>
                <w:szCs w:val="20"/>
                <w:lang w:eastAsia="fr-FR"/>
              </w:rPr>
              <w:t> :</w:t>
            </w:r>
            <w:r>
              <w:rPr>
                <w:rFonts w:cs="Arial" w:ascii="Arial" w:hAnsi="Arial"/>
                <w:sz w:val="20"/>
                <w:szCs w:val="20"/>
                <w:lang w:eastAsia="fr-FR"/>
              </w:rPr>
              <w:t xml:space="preserve"> Strasbourg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eastAsia="fr-FR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  <w:lang w:eastAsia="fr-FR"/>
              </w:rPr>
            </w:r>
          </w:p>
        </w:tc>
      </w:tr>
    </w:tbl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  <w:r>
        <w:br w:type="page"/>
      </w:r>
    </w:p>
    <w:p>
      <w:pPr>
        <w:pStyle w:val="En-ttediscipline"/>
        <w:spacing w:before="0" w:after="360"/>
        <w:rPr/>
      </w:pPr>
      <w:r>
        <w:rPr/>
        <w:t>Physique-chimie</w:t>
      </w:r>
    </w:p>
    <w:p>
      <w:pPr>
        <w:pStyle w:val="En-tteprogramme"/>
        <w:rPr/>
      </w:pPr>
      <w:r>
        <w:rPr/>
        <w:t>Programme de la classe de Terminale Spécialité.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20"/>
          <w:szCs w:val="20"/>
          <w:u w:val="single"/>
          <w:lang w:eastAsia="fr-FR"/>
        </w:rPr>
      </w:pPr>
      <w:r>
        <w:rPr>
          <w:rFonts w:cs="Arial" w:ascii="Arial" w:hAnsi="Arial"/>
          <w:b/>
          <w:sz w:val="20"/>
          <w:szCs w:val="20"/>
          <w:u w:val="single"/>
          <w:lang w:eastAsia="fr-F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sz w:val="28"/>
          <w:szCs w:val="28"/>
          <w:lang w:eastAsia="fr-FR"/>
        </w:rPr>
      </w:pPr>
      <w:r>
        <w:rPr>
          <w:rFonts w:cs="Arial" w:ascii="Arial" w:hAnsi="Arial"/>
          <w:b/>
          <w:sz w:val="28"/>
          <w:szCs w:val="28"/>
          <w:lang w:eastAsia="fr-FR"/>
        </w:rPr>
        <w:t>Document élèves</w:t>
      </w:r>
    </w:p>
    <w:p>
      <w:pPr>
        <w:pStyle w:val="Normal"/>
        <w:spacing w:before="0" w:after="0"/>
        <w:jc w:val="center"/>
        <w:rPr>
          <w:b/>
          <w:bCs/>
          <w:sz w:val="26"/>
          <w:szCs w:val="26"/>
          <w:u w:val="thick"/>
        </w:rPr>
      </w:pPr>
      <w:r>
        <w:rPr>
          <w:b/>
          <w:bCs/>
          <w:sz w:val="26"/>
          <w:szCs w:val="26"/>
          <w:u w:val="thick"/>
        </w:rPr>
      </w:r>
    </w:p>
    <w:p>
      <w:pPr>
        <w:pStyle w:val="Normal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Loi de décroissance radioactive</w:t>
      </w:r>
    </w:p>
    <w:p>
      <w:pPr>
        <w:pStyle w:val="Normal"/>
        <w:spacing w:lineRule="auto" w:line="240" w:before="0"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Les désintégrations radioactives sont un phénomène </w:t>
      </w:r>
      <w:r>
        <w:rPr>
          <w:rFonts w:cs="Calibri"/>
          <w:b/>
          <w:bCs/>
          <w:sz w:val="24"/>
          <w:szCs w:val="24"/>
          <w:u w:val="none"/>
        </w:rPr>
        <w:t>aléatoire</w:t>
      </w:r>
      <w:r>
        <w:rPr>
          <w:rFonts w:cs="Calibri"/>
          <w:b/>
          <w:bCs/>
          <w:sz w:val="24"/>
          <w:szCs w:val="24"/>
        </w:rPr>
        <w:t>,</w:t>
      </w:r>
      <w:r>
        <w:rPr>
          <w:rFonts w:cs="Calibri"/>
          <w:b/>
          <w:bCs/>
          <w:sz w:val="24"/>
          <w:szCs w:val="24"/>
          <w:u w:val="none"/>
        </w:rPr>
        <w:t xml:space="preserve"> inéluctable </w:t>
      </w:r>
      <w:r>
        <w:rPr>
          <w:rFonts w:cs="Calibri"/>
          <w:b/>
          <w:bCs/>
          <w:sz w:val="24"/>
          <w:szCs w:val="24"/>
        </w:rPr>
        <w:t>et</w:t>
      </w:r>
      <w:r>
        <w:rPr>
          <w:rFonts w:cs="Calibri"/>
          <w:b/>
          <w:bCs/>
          <w:sz w:val="24"/>
          <w:szCs w:val="24"/>
          <w:u w:val="none"/>
        </w:rPr>
        <w:t xml:space="preserve"> imprévisible</w:t>
      </w:r>
      <w:r>
        <w:rPr>
          <w:rFonts w:cs="Calibri"/>
          <w:sz w:val="24"/>
          <w:szCs w:val="24"/>
        </w:rPr>
        <w:t xml:space="preserve"> à l’échelle du noyau. On dit ainsi parfois qu’un noyau « meurt sans vieillir ». Cependant, la prédiction du comportement d’un grand nombre de noyaux radioactifs est possible.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Comment un grand nombre de noyaux radioactifs évolue-il au cours du temps ?</w:t>
      </w:r>
    </w:p>
    <w:p>
      <w:pPr>
        <w:pStyle w:val="Normal"/>
        <w:spacing w:lineRule="auto" w:line="240"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  <w:u w:val="single"/>
        </w:rPr>
        <w:t>But</w:t>
      </w:r>
      <w:r>
        <w:rPr>
          <w:sz w:val="24"/>
          <w:szCs w:val="24"/>
          <w:u w:val="none"/>
        </w:rPr>
        <w:t> :</w:t>
      </w:r>
      <w:r>
        <w:rPr>
          <w:sz w:val="24"/>
          <w:szCs w:val="24"/>
        </w:rPr>
        <w:t xml:space="preserve"> On souhaite étudier l’évolution temporelle d’une population de noyaux radioactifs. La manipulation de sources radioactives présentant des risques avérés pour la santé, elle sera uniquement simulée à l’aide d’un programme python, capable de reproduire le comportement aléatoire d’une désintégration nucléaire.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Document 1 : Compteur Geiger-Muller</w:t>
      </w:r>
    </w:p>
    <w:tbl>
      <w:tblPr>
        <w:tblStyle w:val="Grilledutableau"/>
        <w:tblW w:w="1019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0195"/>
      </w:tblGrid>
      <w:tr>
        <w:trPr/>
        <w:tc>
          <w:tcPr>
            <w:tcW w:w="10195" w:type="dxa"/>
            <w:tcBorders/>
          </w:tcPr>
          <w:p>
            <w:pPr>
              <w:pStyle w:val="Normal"/>
              <w:widowControl/>
              <w:suppressAutoHyphens w:val="false"/>
              <w:spacing w:lineRule="auto" w:line="240" w:before="0" w:after="0"/>
              <w:jc w:val="both"/>
              <w:rPr>
                <w:rFonts w:ascii="Calibri" w:hAnsi="Calibri" w:eastAsia="Calibri"/>
                <w:kern w:val="0"/>
                <w:sz w:val="24"/>
                <w:szCs w:val="24"/>
                <w:lang w:val="fr-FR" w:eastAsia="en-US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Le compteur Geiger Muller, datant de 1928, met en évidence un rayonnement radioactif. Pendant une durée, il détecte et comptabilise les désintégrations issues d’une source radioactive. </w:t>
            </w:r>
          </w:p>
          <w:p>
            <w:pPr>
              <w:pStyle w:val="Normal"/>
              <w:widowControl/>
              <w:suppressAutoHyphens w:val="false"/>
              <w:spacing w:lineRule="auto" w:line="240" w:before="0" w:after="0"/>
              <w:jc w:val="both"/>
              <w:rPr>
                <w:rFonts w:ascii="Calibri" w:hAnsi="Calibri" w:eastAsia="Calibri"/>
                <w:kern w:val="0"/>
                <w:sz w:val="24"/>
                <w:szCs w:val="24"/>
                <w:lang w:val="fr-FR" w:eastAsia="en-US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>La source sera ici simulée par une boucle de programme python.</w:t>
            </w:r>
          </w:p>
          <w:p>
            <w:pPr>
              <w:pStyle w:val="Normal"/>
              <w:widowControl/>
              <w:suppressAutoHyphens w:val="false"/>
              <w:spacing w:lineRule="auto" w:line="240" w:before="0" w:after="0"/>
              <w:jc w:val="both"/>
              <w:rPr>
                <w:rFonts w:ascii="Calibri" w:hAnsi="Calibri" w:eastAsia="Calibri"/>
                <w:kern w:val="0"/>
                <w:sz w:val="24"/>
                <w:szCs w:val="24"/>
                <w:lang w:val="fr-FR" w:eastAsia="en-US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On suppose que cette source radioactive contient un nombre initial de noyaux 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N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vertAlign w:val="subscript"/>
                <w:lang w:val="fr-FR" w:eastAsia="en-US" w:bidi="ar-SA"/>
              </w:rPr>
              <w:t>0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 xml:space="preserve"> = 1,0.10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vertAlign w:val="superscript"/>
                <w:lang w:val="fr-FR" w:eastAsia="en-US" w:bidi="ar-SA"/>
              </w:rPr>
              <w:t>5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 xml:space="preserve"> noyaux.</w:t>
            </w:r>
          </w:p>
        </w:tc>
      </w:tr>
    </w:tbl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Document 2 : Demi-vie d’une population de noyaux radioactifs</w:t>
      </w:r>
    </w:p>
    <w:tbl>
      <w:tblPr>
        <w:tblStyle w:val="Grilledutableau"/>
        <w:tblW w:w="1019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0195"/>
      </w:tblGrid>
      <w:tr>
        <w:trPr/>
        <w:tc>
          <w:tcPr>
            <w:tcW w:w="10195" w:type="dxa"/>
            <w:tcBorders/>
          </w:tcPr>
          <w:p>
            <w:pPr>
              <w:pStyle w:val="Normal"/>
              <w:widowControl/>
              <w:suppressAutoHyphens w:val="false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La demi-vie t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vertAlign w:val="subscript"/>
                <w:lang w:val="fr-FR" w:eastAsia="en-US" w:bidi="ar-SA"/>
              </w:rPr>
              <w:t>1/2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 xml:space="preserve"> d’un isotope radioactif est la durée nécessaire pour que la moitié des noyaux radioactifs initialement présents se soient désintégrés.</w:t>
            </w:r>
          </w:p>
        </w:tc>
      </w:tr>
    </w:tbl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  <w:t>Document 3 : Probabilité de désintégration d’un noyau radioactif</w:t>
      </w:r>
    </w:p>
    <w:tbl>
      <w:tblPr>
        <w:tblStyle w:val="Grilledutableau"/>
        <w:tblW w:w="1019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0195"/>
      </w:tblGrid>
      <w:tr>
        <w:trPr/>
        <w:tc>
          <w:tcPr>
            <w:tcW w:w="10195" w:type="dxa"/>
            <w:tcBorders/>
          </w:tcPr>
          <w:p>
            <w:pPr>
              <w:pStyle w:val="ListParagraph"/>
              <w:widowControl/>
              <w:suppressAutoHyphens w:val="false"/>
              <w:spacing w:lineRule="auto" w:line="240" w:before="0" w:after="0"/>
              <w:contextualSpacing/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b/>
                <w:bCs/>
              </w:rPr>
            </w:pP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La 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probabilité p(t)</w:t>
            </w: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 à la date t pour qu’un noyau se désintègre pendant une durée </w:t>
            </w:r>
            <w:r>
              <w:rPr>
                <w:rFonts w:eastAsia="Calibri" w:ascii="Symbol" w:hAnsi="Symbol"/>
                <w:kern w:val="0"/>
                <w:sz w:val="24"/>
                <w:szCs w:val="24"/>
                <w:lang w:val="fr-FR" w:eastAsia="en-US" w:bidi="ar-SA"/>
              </w:rPr>
              <w:t>D</w:t>
            </w: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t est égale au 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quotient du nombre de noyaux désintégrant pendant cette durée sur le nombre total de noyaux à la date t.</w:t>
            </w:r>
          </w:p>
          <w:p>
            <w:pPr>
              <w:pStyle w:val="Normal"/>
              <w:widowControl/>
              <w:suppressAutoHyphens w:val="false"/>
              <w:spacing w:lineRule="auto" w:line="240" w:before="0" w:after="0"/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false"/>
              <w:spacing w:lineRule="auto" w:line="240" w:before="0" w:after="0"/>
              <w:contextualSpacing/>
              <w:jc w:val="both"/>
              <w:rPr>
                <w:rFonts w:ascii="Calibri" w:hAnsi="Calibri" w:eastAsia="Calibri"/>
                <w:kern w:val="0"/>
                <w:sz w:val="24"/>
                <w:szCs w:val="24"/>
                <w:lang w:val="fr-FR" w:eastAsia="en-US" w:bidi="ar-SA"/>
              </w:rPr>
            </w:pP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La 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probabilité de désintégration d’un noyau donné</w:t>
            </w: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 par unité de temps 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est constante</w:t>
            </w: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 au cours du temps. Cette constante </w:t>
            </w:r>
            <w:r>
              <w:rPr>
                <w:rFonts w:eastAsia="Calibri" w:ascii="Symbol" w:hAnsi="Symbol"/>
                <w:kern w:val="0"/>
                <w:sz w:val="24"/>
                <w:szCs w:val="24"/>
                <w:lang w:val="fr-FR" w:eastAsia="en-US" w:bidi="ar-SA"/>
              </w:rPr>
              <w:t>l</w:t>
            </w: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 est nommée </w:t>
            </w:r>
            <w:r>
              <w:rPr>
                <w:rFonts w:eastAsia="Calibri"/>
                <w:b/>
                <w:bCs/>
                <w:kern w:val="0"/>
                <w:sz w:val="24"/>
                <w:szCs w:val="24"/>
                <w:lang w:val="fr-FR" w:eastAsia="en-US" w:bidi="ar-SA"/>
              </w:rPr>
              <w:t>constante radioactive</w:t>
            </w:r>
            <w:r>
              <w:rPr>
                <w:rFonts w:eastAsia="Calibri"/>
                <w:kern w:val="0"/>
                <w:sz w:val="24"/>
                <w:szCs w:val="24"/>
                <w:lang w:val="fr-FR" w:eastAsia="en-US" w:bidi="ar-SA"/>
              </w:rPr>
              <w:t xml:space="preserve"> du noyau considéré.</w:t>
            </w:r>
          </w:p>
          <w:p>
            <w:pPr>
              <w:pStyle w:val="Normal"/>
              <w:widowControl/>
              <w:suppressAutoHyphens w:val="false"/>
              <w:spacing w:lineRule="auto" w:line="240" w:before="0" w:after="0"/>
              <w:jc w:val="star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</w:tbl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Travail à réaliser :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Évolution statistique de la population de noyaux radioactifs simulé sur python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S’APPROPRIER-</w:t>
      </w:r>
      <w:r>
        <w:rPr>
          <w:sz w:val="24"/>
          <w:szCs w:val="24"/>
        </w:rPr>
        <w:t xml:space="preserve"> Compléter le fichier en indiquant le nombre initial de noyaux radioactifs présents (voir doc. 1) puis lancer le programme et observer le graphique obtenu.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S’APPROPRIER-</w:t>
      </w:r>
      <w:r>
        <w:rPr>
          <w:sz w:val="24"/>
          <w:szCs w:val="24"/>
        </w:rPr>
        <w:t xml:space="preserve"> Quelle est l’allure de l’évolution temporelle du nombre de noyaux radioactifs ?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VALIDER-</w:t>
      </w:r>
      <w:r>
        <w:rPr>
          <w:sz w:val="24"/>
          <w:szCs w:val="24"/>
        </w:rPr>
        <w:t xml:space="preserve"> Modéliser le graphique obtenu en complétant l’expression mathématique permettant de     réaliser cette modélisation. Noter le résultat de la modélisation.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def fct(t, A, k):                    </w:t>
      </w:r>
      <w:r>
        <w:rPr>
          <w:color w:themeColor="text1" w:themeTint="80" w:val="7F7F7F"/>
          <w:sz w:val="24"/>
          <w:szCs w:val="24"/>
        </w:rPr>
        <w:t xml:space="preserve"># Définition de la fonction qui sera utilisée pour la modélisation. </w:t>
      </w:r>
    </w:p>
    <w:p>
      <w:pPr>
        <w:pStyle w:val="Normal"/>
        <w:suppressAutoHyphens w:val="false"/>
        <w:spacing w:lineRule="auto" w:line="240" w:before="0" w:after="0"/>
        <w:jc w:val="both"/>
        <w:rPr>
          <w:color w:themeColor="text1" w:themeTint="80" w:val="7F7F7F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return __________________________________________________ </w:t>
      </w:r>
      <w:r>
        <w:rPr>
          <w:color w:themeColor="text1" w:themeTint="80" w:val="7F7F7F"/>
          <w:sz w:val="24"/>
          <w:szCs w:val="24"/>
        </w:rPr>
        <w:t xml:space="preserve"># A COMPLETER -  Expression de la fonction mathématique du modèle. 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Remarque :</w:t>
      </w:r>
      <w:r>
        <w:rPr>
          <w:sz w:val="24"/>
          <w:szCs w:val="24"/>
        </w:rPr>
        <w:t xml:space="preserve"> On note t, le temps ; A le nombre initial de noyaux et k, un paramètre utile.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1"/>
          <w:szCs w:val="21"/>
        </w:rPr>
        <w:t>REALISER-</w:t>
      </w:r>
      <w:r>
        <w:rPr>
          <w:sz w:val="24"/>
          <w:szCs w:val="24"/>
        </w:rPr>
        <w:t xml:space="preserve"> Déterminer grâce à la courbe étudiée, la demi-vie des noyaux radioactifs simulés. Expliquer la démarche nécessaire. On exprimera le résultat dans une unité temporelle arbitraire notée u.t.a.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REALISER-</w:t>
      </w:r>
      <w:r>
        <w:rPr>
          <w:sz w:val="24"/>
          <w:szCs w:val="24"/>
        </w:rPr>
        <w:t xml:space="preserve"> Calculer point par point la dérivée temporelle du nombre de noyaux en complétant une partie du programme python.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### dérivée temporelle de L ###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y=[]   # liste des valeurs de la dérivée temporelle du nombre de noyaux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for i in range(1,len(t)-1):         # Calcul de la dérivée temporelle de L pour chaque valeur de temps arbitraire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lang w:val="en-US"/>
        </w:rPr>
        <w:t>derivee = _____________________________________________________         # A COMPLETER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</w:t>
      </w:r>
      <w:r>
        <w:rPr>
          <w:sz w:val="24"/>
          <w:szCs w:val="24"/>
          <w:lang w:val="en-US"/>
        </w:rPr>
        <w:t>y.append(derivee)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VALIDER-</w:t>
      </w:r>
      <w:r>
        <w:rPr>
          <w:sz w:val="24"/>
          <w:szCs w:val="24"/>
        </w:rPr>
        <w:t xml:space="preserve"> Montrer que cette dérivée est proportionnelle au nombre de noyaux radioactifs présents au cours du temps. </w:t>
      </w:r>
    </w:p>
    <w:p>
      <w:pPr>
        <w:pStyle w:val="Normal"/>
        <w:suppressAutoHyphens w:val="false"/>
        <w:spacing w:lineRule="auto" w:line="240" w:before="0" w:after="0"/>
        <w:ind w:start="360"/>
        <w:jc w:val="both"/>
        <w:rPr>
          <w:sz w:val="24"/>
          <w:szCs w:val="24"/>
        </w:rPr>
      </w:pPr>
      <w:r>
        <w:rPr>
          <w:sz w:val="24"/>
          <w:szCs w:val="24"/>
        </w:rPr>
        <w:t>Pour cela, on raisonnera sur une courbe utile. Quelle courbe faut-il alors afficher ? Compléter le programme python.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plt.plot(_________,_________,'.',color="blue")          # Affichage de la courbe statistique ("expérimentale")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plt.xlabel('__________________________________________________')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plt.ylabel(' __________________________________________________________ ')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plt.legend()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plt.show()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Puis modéliser la courbe affichée par une fonction convenablement choisie pour répondre à la question posée.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def fct(L, a):                    </w:t>
      </w:r>
      <w:r>
        <w:rPr>
          <w:color w:themeColor="background1" w:themeShade="80" w:val="808080"/>
          <w:sz w:val="24"/>
          <w:szCs w:val="24"/>
        </w:rPr>
        <w:t># Définition de la fonction qui sera utilisée pour la modélisation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return ___________________       </w:t>
      </w:r>
      <w:r>
        <w:rPr>
          <w:color w:themeColor="background1" w:themeShade="80" w:val="808080"/>
          <w:sz w:val="24"/>
          <w:szCs w:val="24"/>
        </w:rPr>
        <w:t># A COMPLETER -  Expression de la fonction mathématique du modèle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ANALYSER/RAISONNER-</w:t>
      </w:r>
      <w:r>
        <w:rPr>
          <w:sz w:val="24"/>
          <w:szCs w:val="24"/>
        </w:rPr>
        <w:t xml:space="preserve"> Modifier le nombre initial de noyaux : prendre N = 100 puis N = 10. Les observations précédentes sont-elles encore vérifiées ? Quelle particularité a-t-on ainsi mis en évidence ?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Mise en équation du phénomène étudié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S’APPROPRIER-</w:t>
      </w:r>
      <w:r>
        <w:rPr>
          <w:sz w:val="24"/>
          <w:szCs w:val="24"/>
        </w:rPr>
        <w:t xml:space="preserve"> Traduire mathématiquement chacune des deux phrases du document 3. On notera N(t) le nombre de noyaux présents au cours du temps.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REALISER-</w:t>
      </w:r>
      <w:r>
        <w:rPr>
          <w:sz w:val="24"/>
          <w:szCs w:val="24"/>
        </w:rPr>
        <w:t xml:space="preserve"> D’après ce qui précède, donner deux expressions de la probabilité de désintégration d’un noyau pendant une durée </w:t>
      </w:r>
      <w:r>
        <w:rPr>
          <w:rFonts w:ascii="Symbol" w:hAnsi="Symbol"/>
          <w:sz w:val="24"/>
          <w:szCs w:val="24"/>
        </w:rPr>
        <w:t>D</w:t>
      </w:r>
      <w:r>
        <w:rPr>
          <w:sz w:val="24"/>
          <w:szCs w:val="24"/>
        </w:rPr>
        <w:t>t.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REALISER-</w:t>
      </w:r>
      <w:r>
        <w:rPr>
          <w:sz w:val="24"/>
          <w:szCs w:val="24"/>
        </w:rPr>
        <w:t xml:space="preserve"> En déduire l’équation différentielle vérifiée par le nombre de noyaux si la durée </w:t>
      </w:r>
      <w:r>
        <w:rPr>
          <w:rFonts w:ascii="Symbol" w:hAnsi="Symbol"/>
          <w:sz w:val="24"/>
          <w:szCs w:val="24"/>
        </w:rPr>
        <w:t>D</w:t>
      </w:r>
      <w:r>
        <w:rPr>
          <w:sz w:val="24"/>
          <w:szCs w:val="24"/>
        </w:rPr>
        <w:t>t devient infiniment courte. Préciser la nature de l’équation différentielle obtenue.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VALIDER-</w:t>
      </w:r>
      <w:r>
        <w:rPr>
          <w:sz w:val="24"/>
          <w:szCs w:val="24"/>
        </w:rPr>
        <w:t xml:space="preserve"> L’équation différentielle obtenue est-elle en accord avec le résultat de la question 6 ? Quelle grandeur peut-on déjà identifier ?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REALISER-</w:t>
      </w:r>
      <w:r>
        <w:rPr>
          <w:sz w:val="24"/>
          <w:szCs w:val="24"/>
        </w:rPr>
        <w:t xml:space="preserve"> Résoudre l’équation différentielle obtenue.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Constante radioactive et demi-vie des noyaux simulés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 xml:space="preserve">VALIDER- </w:t>
      </w:r>
      <w:r>
        <w:rPr>
          <w:sz w:val="24"/>
          <w:szCs w:val="24"/>
        </w:rPr>
        <w:t>En s’appuyant sur l’expression obtenue lors de la résolution de l’équation différentielle, déterminer dans une unité de temps arbitraire la constante radioactive des noyaux simulés.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 xml:space="preserve">REALISER- </w:t>
      </w:r>
      <w:r>
        <w:rPr>
          <w:sz w:val="24"/>
          <w:szCs w:val="24"/>
        </w:rPr>
        <w:t>Déterminer par le calcul une expression de la demi-vie d’un isotope radioactif.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 xml:space="preserve">REALISER- </w:t>
      </w:r>
      <w:r>
        <w:rPr>
          <w:sz w:val="24"/>
          <w:szCs w:val="24"/>
        </w:rPr>
        <w:t>Réaliser l’application numérique pour l’isotope simulé.</w:t>
      </w:r>
    </w:p>
    <w:p>
      <w:pPr>
        <w:pStyle w:val="ListParagraph"/>
        <w:numPr>
          <w:ilvl w:val="0"/>
          <w:numId w:val="3"/>
        </w:numPr>
        <w:suppressAutoHyphens w:val="false"/>
        <w:spacing w:lineRule="auto" w:line="240" w:before="0" w:after="0"/>
        <w:contextualSpacing/>
        <w:jc w:val="both"/>
        <w:rPr>
          <w:sz w:val="24"/>
          <w:szCs w:val="24"/>
        </w:rPr>
      </w:pPr>
      <w:r>
        <w:rPr>
          <w:sz w:val="21"/>
          <w:szCs w:val="21"/>
        </w:rPr>
        <w:t>VALIDER-</w:t>
      </w:r>
      <w:r>
        <w:rPr>
          <w:sz w:val="24"/>
          <w:szCs w:val="24"/>
        </w:rPr>
        <w:t xml:space="preserve"> Cette valeur est-elle en accord avec la lecture graphique précédemment réalisée.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18"/>
          <w:szCs w:val="18"/>
          <w:u w:val="single"/>
          <w:lang w:eastAsia="fr-FR"/>
        </w:rPr>
      </w:pPr>
      <w:r>
        <w:rPr>
          <w:rFonts w:cs="Arial" w:ascii="Arial" w:hAnsi="Arial"/>
          <w:b/>
          <w:sz w:val="18"/>
          <w:szCs w:val="18"/>
          <w:u w:val="single"/>
          <w:lang w:eastAsia="fr-FR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Pour le professeur (mise œuvre, éléments de correction, ...)</w:t>
      </w:r>
    </w:p>
    <w:p>
      <w:pPr>
        <w:pStyle w:val="Normal"/>
        <w:spacing w:lineRule="auto" w:line="240" w:before="0" w:after="0"/>
        <w:rPr>
          <w:rFonts w:ascii="Arial" w:hAnsi="Arial" w:cs="Arial"/>
          <w:bCs/>
          <w:sz w:val="18"/>
          <w:szCs w:val="18"/>
          <w:lang w:eastAsia="fr-FR"/>
        </w:rPr>
      </w:pPr>
      <w:r>
        <w:rPr>
          <w:rFonts w:cs="Arial" w:ascii="Arial" w:hAnsi="Arial"/>
          <w:bCs/>
          <w:sz w:val="18"/>
          <w:szCs w:val="18"/>
          <w:lang w:eastAsia="fr-FR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Évolution statistique de la population de noyaux radioactifs simulé sur python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Allure du graphique obtenu :</w:t>
      </w:r>
    </w:p>
    <w:p>
      <w:pPr>
        <w:pStyle w:val="Normal"/>
        <w:suppressAutoHyphens w:val="false"/>
        <w:spacing w:lineRule="auto" w:line="240" w:before="0" w:after="0"/>
        <w:jc w:val="center"/>
        <w:rPr>
          <w:sz w:val="24"/>
          <w:szCs w:val="24"/>
        </w:rPr>
      </w:pPr>
      <w:r>
        <w:rPr/>
        <w:drawing>
          <wp:inline distT="0" distB="0" distL="0" distR="0">
            <wp:extent cx="5829300" cy="37274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2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def fct(t, A, k):                    </w:t>
      </w:r>
      <w:r>
        <w:rPr>
          <w:color w:themeColor="text1" w:themeTint="80" w:val="7F7F7F"/>
          <w:sz w:val="24"/>
          <w:szCs w:val="24"/>
        </w:rPr>
        <w:t xml:space="preserve"># Définition de la fonction qui sera utilisée pour la modélisation. </w:t>
      </w:r>
    </w:p>
    <w:p>
      <w:pPr>
        <w:pStyle w:val="Normal"/>
        <w:suppressAutoHyphens w:val="false"/>
        <w:spacing w:lineRule="auto" w:line="240" w:before="0" w:after="0"/>
        <w:jc w:val="both"/>
        <w:rPr>
          <w:color w:themeColor="text1" w:themeTint="80" w:val="7F7F7F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return </w:t>
      </w:r>
      <w:r>
        <w:rPr>
          <w:color w:val="0933C8"/>
          <w:sz w:val="24"/>
          <w:szCs w:val="24"/>
        </w:rPr>
        <w:t>A*(np.exp(-t*k))</w:t>
      </w:r>
      <w:r>
        <w:rPr>
          <w:sz w:val="24"/>
          <w:szCs w:val="24"/>
        </w:rPr>
        <w:t xml:space="preserve">           </w:t>
      </w:r>
      <w:r>
        <w:rPr>
          <w:color w:themeColor="text1" w:themeTint="80" w:val="7F7F7F"/>
          <w:sz w:val="24"/>
          <w:szCs w:val="24"/>
        </w:rPr>
        <w:t xml:space="preserve"># A COMPLETER -  Expression de la fonction mathématique du modèle. 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Remarque :</w:t>
      </w:r>
      <w:r>
        <w:rPr>
          <w:sz w:val="24"/>
          <w:szCs w:val="24"/>
        </w:rPr>
        <w:t xml:space="preserve"> On note t, le temps ; A le nombre initial de noyaux et k, un paramètre utile.</w:t>
      </w:r>
    </w:p>
    <w:p>
      <w:pPr>
        <w:pStyle w:val="Normal"/>
        <w:suppressAutoHyphens w:val="false"/>
        <w:spacing w:lineRule="auto" w:line="240" w:before="0" w:after="0"/>
        <w:jc w:val="center"/>
        <w:rPr>
          <w:sz w:val="24"/>
          <w:szCs w:val="24"/>
        </w:rPr>
      </w:pPr>
      <w:r>
        <w:rPr/>
        <w:drawing>
          <wp:inline distT="0" distB="0" distL="0" distR="0">
            <wp:extent cx="5537200" cy="3778250"/>
            <wp:effectExtent l="0" t="0" r="0" b="0"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0" cy="377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Demi-vie des noyaux radioactifs simulés.</w:t>
      </w:r>
    </w:p>
    <w:p>
      <w:pPr>
        <w:pStyle w:val="Normal"/>
        <w:suppressAutoHyphens w:val="false"/>
        <w:spacing w:lineRule="auto" w:line="240" w:before="0" w:after="0"/>
        <w:jc w:val="center"/>
        <w:rPr>
          <w:sz w:val="24"/>
          <w:szCs w:val="24"/>
        </w:rPr>
      </w:pPr>
      <w:r>
        <w:rPr/>
        <w:drawing>
          <wp:inline distT="0" distB="0" distL="0" distR="0">
            <wp:extent cx="4635500" cy="3578225"/>
            <wp:effectExtent l="0" t="0" r="0" b="0"/>
            <wp:docPr id="3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357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Dérivée temporelle point par point du nombre de noyaux en complétant une partie du programme python.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### dérivée temporelle de L ###</w:t>
      </w:r>
    </w:p>
    <w:p>
      <w:pPr>
        <w:pStyle w:val="Normal"/>
        <w:suppressAutoHyphens w:val="false"/>
        <w:spacing w:lineRule="auto" w:line="240" w:before="0" w:after="0"/>
        <w:jc w:val="both"/>
        <w:rPr>
          <w:color w:themeColor="background1" w:themeShade="80" w:val="808080"/>
          <w:sz w:val="24"/>
          <w:szCs w:val="24"/>
        </w:rPr>
      </w:pPr>
      <w:r>
        <w:rPr>
          <w:sz w:val="24"/>
          <w:szCs w:val="24"/>
        </w:rPr>
        <w:t xml:space="preserve">y=[]   </w:t>
      </w:r>
      <w:r>
        <w:rPr>
          <w:color w:themeColor="background1" w:themeShade="80" w:val="808080"/>
          <w:sz w:val="24"/>
          <w:szCs w:val="24"/>
        </w:rPr>
        <w:t># liste des valeurs de la dérivée temporelle du nombre de noyaux</w:t>
      </w:r>
    </w:p>
    <w:p>
      <w:pPr>
        <w:pStyle w:val="Normal"/>
        <w:suppressAutoHyphens w:val="false"/>
        <w:spacing w:lineRule="auto" w:line="240" w:before="0" w:after="0"/>
        <w:jc w:val="both"/>
        <w:rPr>
          <w:color w:themeColor="background1" w:themeShade="80" w:val="808080"/>
          <w:sz w:val="24"/>
          <w:szCs w:val="24"/>
        </w:rPr>
      </w:pPr>
      <w:r>
        <w:rPr>
          <w:sz w:val="24"/>
          <w:szCs w:val="24"/>
        </w:rPr>
        <w:t xml:space="preserve">for i in range(1,len(t)-1):         </w:t>
      </w:r>
      <w:r>
        <w:rPr>
          <w:color w:themeColor="background1" w:themeShade="80" w:val="808080"/>
          <w:sz w:val="24"/>
          <w:szCs w:val="24"/>
        </w:rPr>
        <w:t># Calcul de la dérivée temporelle de L pour chaque valeur de temps arbitraire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lang w:val="en-US"/>
        </w:rPr>
        <w:t xml:space="preserve">derivee = </w:t>
      </w:r>
      <w:r>
        <w:rPr>
          <w:color w:val="0933C8"/>
          <w:sz w:val="24"/>
          <w:szCs w:val="24"/>
          <w:lang w:val="en-US"/>
        </w:rPr>
        <w:t xml:space="preserve">(L[i+1]-L[i]) / (t[i+1]-t[i])   </w:t>
      </w:r>
      <w:r>
        <w:rPr>
          <w:color w:themeColor="background1" w:themeShade="80" w:val="808080"/>
          <w:sz w:val="24"/>
          <w:szCs w:val="24"/>
          <w:lang w:val="en-US"/>
        </w:rPr>
        <w:t># A COMPLETER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</w:t>
      </w:r>
      <w:r>
        <w:rPr>
          <w:sz w:val="24"/>
          <w:szCs w:val="24"/>
        </w:rPr>
        <w:t>y.append(derivee)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Dérivée temporelle du nombre de noyaux en fonction du nombre de noyaux restants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color w:themeColor="background1" w:themeShade="80" w:val="808080"/>
          <w:sz w:val="24"/>
          <w:szCs w:val="24"/>
        </w:rPr>
      </w:pPr>
      <w:r>
        <w:rPr>
          <w:sz w:val="24"/>
          <w:szCs w:val="24"/>
        </w:rPr>
        <w:t>plt.plot(</w:t>
      </w:r>
      <w:r>
        <w:rPr>
          <w:color w:val="0933C8"/>
          <w:sz w:val="24"/>
          <w:szCs w:val="24"/>
        </w:rPr>
        <w:t>L,y,'.',color="blue"</w:t>
      </w:r>
      <w:r>
        <w:rPr>
          <w:sz w:val="24"/>
          <w:szCs w:val="24"/>
        </w:rPr>
        <w:t xml:space="preserve">)          </w:t>
      </w:r>
      <w:r>
        <w:rPr>
          <w:color w:themeColor="background1" w:themeShade="80" w:val="808080"/>
          <w:sz w:val="24"/>
          <w:szCs w:val="24"/>
        </w:rPr>
        <w:t># Affichage de la courbe statistique ("expérimentale")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plt.xlabel(</w:t>
      </w:r>
      <w:r>
        <w:rPr>
          <w:color w:val="0933C8"/>
          <w:sz w:val="24"/>
          <w:szCs w:val="24"/>
        </w:rPr>
        <w:t>'nombre de noyaux restants'</w:t>
      </w:r>
      <w:r>
        <w:rPr>
          <w:sz w:val="24"/>
          <w:szCs w:val="24"/>
        </w:rPr>
        <w:t>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plt.ylabel(</w:t>
      </w:r>
      <w:r>
        <w:rPr>
          <w:color w:val="0933C8"/>
          <w:sz w:val="24"/>
          <w:szCs w:val="24"/>
        </w:rPr>
        <w:t>' dérivée temporelle du nombre de noyaux '</w:t>
      </w:r>
      <w:r>
        <w:rPr>
          <w:sz w:val="24"/>
          <w:szCs w:val="24"/>
        </w:rPr>
        <w:t>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plt.legend()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plt.show()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Puis modéliser la courbe affichée par une fonction convenablement choisie pour répondre à la question posée.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Extrait du programme python à compléter :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def fct(L, a):                    </w:t>
      </w:r>
      <w:r>
        <w:rPr>
          <w:color w:themeColor="background1" w:themeShade="80" w:val="808080"/>
          <w:sz w:val="24"/>
          <w:szCs w:val="24"/>
        </w:rPr>
        <w:t># Définition de la fonction qui sera utilisée pour la modélisation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return </w:t>
      </w:r>
      <w:r>
        <w:rPr>
          <w:color w:val="0933C8"/>
          <w:sz w:val="24"/>
          <w:szCs w:val="24"/>
        </w:rPr>
        <w:t xml:space="preserve">a*L       </w:t>
      </w:r>
      <w:r>
        <w:rPr>
          <w:color w:themeColor="background1" w:themeShade="80" w:val="808080"/>
          <w:sz w:val="24"/>
          <w:szCs w:val="24"/>
        </w:rPr>
        <w:t># A COMPLETER -  Expression de la fonction mathématique du modèle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/>
        <w:drawing>
          <wp:inline distT="0" distB="0" distL="0" distR="0">
            <wp:extent cx="6479540" cy="4356100"/>
            <wp:effectExtent l="0" t="0" r="0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35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Effet du nombre initial de noyaux : prendre N = 100 puis N = 10. 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1" allowOverlap="1" relativeHeight="7">
            <wp:simplePos x="0" y="0"/>
            <wp:positionH relativeFrom="column">
              <wp:posOffset>1555115</wp:posOffset>
            </wp:positionH>
            <wp:positionV relativeFrom="paragraph">
              <wp:posOffset>38735</wp:posOffset>
            </wp:positionV>
            <wp:extent cx="3251200" cy="2038350"/>
            <wp:effectExtent l="0" t="0" r="0" b="0"/>
            <wp:wrapNone/>
            <wp:docPr id="5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N = 100 000 noyaux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1" allowOverlap="1" relativeHeight="9">
            <wp:simplePos x="0" y="0"/>
            <wp:positionH relativeFrom="column">
              <wp:posOffset>1726565</wp:posOffset>
            </wp:positionH>
            <wp:positionV relativeFrom="paragraph">
              <wp:posOffset>158750</wp:posOffset>
            </wp:positionV>
            <wp:extent cx="3498850" cy="2108200"/>
            <wp:effectExtent l="0" t="0" r="0" b="0"/>
            <wp:wrapNone/>
            <wp:docPr id="6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0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N = 100  noyaux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drawing>
          <wp:anchor behindDoc="0" distT="0" distB="0" distL="0" distR="0" simplePos="0" locked="0" layoutInCell="1" allowOverlap="1" relativeHeight="8">
            <wp:simplePos x="0" y="0"/>
            <wp:positionH relativeFrom="column">
              <wp:posOffset>2031365</wp:posOffset>
            </wp:positionH>
            <wp:positionV relativeFrom="paragraph">
              <wp:posOffset>-52705</wp:posOffset>
            </wp:positionV>
            <wp:extent cx="3155950" cy="2298700"/>
            <wp:effectExtent l="0" t="0" r="0" b="0"/>
            <wp:wrapNone/>
            <wp:docPr id="7" name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229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N = 10 noyaux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On remarque que si N diminue alors la modélisation par une exponentielle décroissante a de moins de moins de sens. Le phénomène étudié est aléatoire sur une petite population de noyaux.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Plusieurs modélisations avec N = 10 noyaux 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drawing>
          <wp:anchor behindDoc="0" distT="0" distB="0" distL="0" distR="0" simplePos="0" locked="0" layoutInCell="1" allowOverlap="1" relativeHeight="10">
            <wp:simplePos x="0" y="0"/>
            <wp:positionH relativeFrom="column">
              <wp:posOffset>-13335</wp:posOffset>
            </wp:positionH>
            <wp:positionV relativeFrom="paragraph">
              <wp:posOffset>56515</wp:posOffset>
            </wp:positionV>
            <wp:extent cx="2705100" cy="2495550"/>
            <wp:effectExtent l="0" t="0" r="0" b="0"/>
            <wp:wrapNone/>
            <wp:docPr id="8" name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1" allowOverlap="1" relativeHeight="11">
            <wp:simplePos x="0" y="0"/>
            <wp:positionH relativeFrom="column">
              <wp:posOffset>2812415</wp:posOffset>
            </wp:positionH>
            <wp:positionV relativeFrom="paragraph">
              <wp:posOffset>113665</wp:posOffset>
            </wp:positionV>
            <wp:extent cx="2552700" cy="2292350"/>
            <wp:effectExtent l="0" t="0" r="0" b="0"/>
            <wp:wrapNone/>
            <wp:docPr id="9" name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Mise en équation du phénomène étudié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Raisonnement classique 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Constante radioactive et demi-vie des noyaux simulés</w:t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/>
        <w:drawing>
          <wp:anchor behindDoc="0" distT="0" distB="0" distL="0" distR="0" simplePos="0" locked="0" layoutInCell="1" allowOverlap="1" relativeHeight="12">
            <wp:simplePos x="0" y="0"/>
            <wp:positionH relativeFrom="column">
              <wp:posOffset>2844165</wp:posOffset>
            </wp:positionH>
            <wp:positionV relativeFrom="paragraph">
              <wp:posOffset>64770</wp:posOffset>
            </wp:positionV>
            <wp:extent cx="3492500" cy="336550"/>
            <wp:effectExtent l="0" t="0" r="0" b="0"/>
            <wp:wrapNone/>
            <wp:docPr id="10" name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inline distT="0" distB="0" distL="0" distR="0">
            <wp:extent cx="4489450" cy="2603500"/>
            <wp:effectExtent l="0" t="0" r="0" b="0"/>
            <wp:docPr id="11" name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On vient de démontrer que :</w:t>
      </w:r>
    </w:p>
    <w:p>
      <w:pPr>
        <w:pStyle w:val="Normal"/>
        <w:suppressAutoHyphens w:val="false"/>
        <w:spacing w:lineRule="auto" w:line="240" w:before="0" w:after="0"/>
        <w:jc w:val="center"/>
        <w:rPr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m:t xml:space="preserve">N</m:t>
          </m:r>
          <m:d>
            <m:dPr>
              <m:begChr m:val="("/>
              <m:endChr m:val=")"/>
            </m:dPr>
            <m:e>
              <m:r>
                <m:t xml:space="preserve">t</m:t>
              </m:r>
            </m:e>
          </m:d>
          <m:r>
            <m:rPr>
              <m:lit/>
              <m:nor/>
            </m:rPr>
            <m:t xml:space="preserve">=</m:t>
          </m:r>
          <m:r>
            <m:rPr>
              <m:lit/>
              <m:nor/>
            </m:rPr>
            <m:t xml:space="preserve"> </m:t>
          </m:r>
          <m:sSub>
            <m:e>
              <m:r>
                <m:t xml:space="preserve">N</m:t>
              </m:r>
            </m:e>
            <m:sub>
              <m:r>
                <m:t xml:space="preserve">0</m:t>
              </m:r>
            </m:sub>
          </m:sSub>
          <m:r>
            <m:rPr>
              <m:lit/>
              <m:nor/>
            </m:rPr>
            <m:t xml:space="preserve"> </m:t>
          </m:r>
          <m:sSup>
            <m:e>
              <m:r>
                <m:t xml:space="preserve">e</m:t>
              </m:r>
            </m:e>
            <m:sup>
              <m:r>
                <m:rPr>
                  <m:lit/>
                  <m:nor/>
                </m:rPr>
                <m:t xml:space="preserve">-</m:t>
              </m:r>
              <m:r>
                <m:t xml:space="preserve">λt</m:t>
              </m:r>
            </m:sup>
          </m:sSup>
        </m:oMath>
      </m:oMathPara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Par identification, il vient alors :</w:t>
      </w:r>
    </w:p>
    <w:p>
      <w:pPr>
        <w:pStyle w:val="Normal"/>
        <w:suppressAutoHyphens w:val="false"/>
        <w:spacing w:lineRule="auto" w:line="240" w:before="0" w:after="0"/>
        <w:jc w:val="center"/>
        <w:rPr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m:t xml:space="preserve">λ</m:t>
          </m:r>
          <m:r>
            <m:rPr>
              <m:lit/>
              <m:nor/>
            </m:rPr>
            <m:t xml:space="preserve">=</m:t>
          </m:r>
          <m:r>
            <m:t xml:space="preserve">k</m:t>
          </m:r>
          <m:r>
            <m:rPr>
              <m:lit/>
              <m:nor/>
            </m:rPr>
            <m:t xml:space="preserve">=</m:t>
          </m:r>
          <m:r>
            <m:t xml:space="preserve">0,02019</m:t>
          </m:r>
          <m:r>
            <m:rPr>
              <m:lit/>
              <m:nor/>
            </m:rPr>
            <m:t xml:space="preserve"> </m:t>
          </m:r>
          <m:sSup>
            <m:e>
              <m:r>
                <m:t xml:space="preserve">u</m:t>
              </m:r>
              <m:r>
                <m:t xml:space="preserve">.</m:t>
              </m:r>
              <m:r>
                <m:t xml:space="preserve">t</m:t>
              </m:r>
              <m:r>
                <m:t xml:space="preserve">.</m:t>
              </m:r>
              <m:r>
                <m:t xml:space="preserve">a</m:t>
              </m:r>
              <m:r>
                <m:t xml:space="preserve">.</m:t>
              </m:r>
            </m:e>
            <m:sup>
              <m:r>
                <m:rPr>
                  <m:lit/>
                  <m:nor/>
                </m:rPr>
                <m:t xml:space="preserve">-</m:t>
              </m:r>
              <m:r>
                <m:t xml:space="preserve">1</m:t>
              </m:r>
            </m:sup>
          </m:sSup>
        </m:oMath>
      </m:oMathPara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Demi-vie d’un isotope radioactif :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eastAsia="" w:eastAsiaTheme="minorEastAsia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m:t xml:space="preserve">t</m:t>
              </m:r>
            </m:e>
            <m:sub>
              <m:r>
                <m:t xml:space="preserve">1</m:t>
              </m:r>
              <m:r>
                <m:rPr>
                  <m:lit/>
                  <m:nor/>
                </m:rPr>
                <m:t xml:space="preserve">/</m:t>
              </m:r>
              <m:r>
                <m:t xml:space="preserve">2</m:t>
              </m:r>
            </m:sub>
          </m:sSub>
          <m:r>
            <m:rPr>
              <m:lit/>
              <m:nor/>
            </m:rPr>
            <m:t xml:space="preserve">=</m:t>
          </m:r>
          <m:f>
            <m:num>
              <m:r>
                <m:t xml:space="preserve">ln</m:t>
              </m:r>
              <m:r>
                <m:t xml:space="preserve">⁡</m:t>
              </m:r>
              <m:r>
                <m:t xml:space="preserve">(</m:t>
              </m:r>
              <m:r>
                <m:t xml:space="preserve">2</m:t>
              </m:r>
              <m:r>
                <m:t xml:space="preserve">)</m:t>
              </m:r>
            </m:num>
            <m:den>
              <m:r>
                <m:t xml:space="preserve">λ</m:t>
              </m:r>
            </m:den>
          </m:f>
          <m:r>
            <m:rPr>
              <m:lit/>
              <m:nor/>
            </m:rPr>
            <m:t xml:space="preserve">=</m:t>
          </m:r>
          <m:r>
            <m:rPr>
              <m:lit/>
              <m:nor/>
            </m:rPr>
            <m:t xml:space="preserve"> </m:t>
          </m:r>
          <m:f>
            <m:num>
              <m:r>
                <m:t xml:space="preserve">ln</m:t>
              </m:r>
              <m:r>
                <m:t xml:space="preserve">⁡</m:t>
              </m:r>
              <m:r>
                <m:t xml:space="preserve">(</m:t>
              </m:r>
              <m:r>
                <m:t xml:space="preserve">2</m:t>
              </m:r>
              <m:r>
                <m:t xml:space="preserve">)</m:t>
              </m:r>
            </m:num>
            <m:den>
              <m:r>
                <m:t xml:space="preserve">0,02019</m:t>
              </m:r>
            </m:den>
          </m:f>
          <m:r>
            <m:rPr>
              <m:lit/>
              <m:nor/>
            </m:rPr>
            <m:t xml:space="preserve">=</m:t>
          </m:r>
          <m:r>
            <m:t xml:space="preserve">34,33</m:t>
          </m:r>
          <m:r>
            <m:rPr>
              <m:lit/>
              <m:nor/>
            </m:rPr>
            <m:t xml:space="preserve"> </m:t>
          </m:r>
          <m:r>
            <m:t xml:space="preserve">u</m:t>
          </m:r>
          <m:r>
            <m:t xml:space="preserve">.</m:t>
          </m:r>
          <m:r>
            <m:t xml:space="preserve">t</m:t>
          </m:r>
          <m:r>
            <m:t xml:space="preserve">.</m:t>
          </m:r>
          <m:r>
            <m:t xml:space="preserve">a</m:t>
          </m:r>
          <m:r>
            <m:t xml:space="preserve">.</m:t>
          </m:r>
        </m:oMath>
      </m:oMathPara>
    </w:p>
    <w:p>
      <w:pPr>
        <w:pStyle w:val="Normal"/>
        <w:suppressAutoHyphens w:val="false"/>
        <w:spacing w:lineRule="auto" w:line="240" w:before="0" w:after="0"/>
        <w:jc w:val="both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eastAsia="" w:eastAsiaTheme="minorEastAsia"/>
          <w:sz w:val="24"/>
          <w:szCs w:val="24"/>
        </w:rPr>
        <w:t xml:space="preserve">Cette valeur est compatible avec la précédente détermination de la demi-vie des noyaux radioactifs, réalisée par lecture graphique :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eastAsia="" w:eastAsiaTheme="minorEastAsia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m:t xml:space="preserve">t</m:t>
              </m:r>
            </m:e>
            <m:sub>
              <m:r>
                <m:t xml:space="preserve">1</m:t>
              </m:r>
              <m:r>
                <m:rPr>
                  <m:lit/>
                  <m:nor/>
                </m:rPr>
                <m:t xml:space="preserve">/</m:t>
              </m:r>
              <m:r>
                <m:t xml:space="preserve">2</m:t>
              </m:r>
            </m:sub>
          </m:sSub>
          <m:r>
            <m:rPr>
              <m:lit/>
              <m:nor/>
            </m:rPr>
            <m:t xml:space="preserve">=</m:t>
          </m:r>
          <m:r>
            <m:t xml:space="preserve">33,60</m:t>
          </m:r>
          <m:r>
            <m:rPr>
              <m:lit/>
              <m:nor/>
            </m:rPr>
            <m:t xml:space="preserve"> </m:t>
          </m:r>
          <m:r>
            <m:t xml:space="preserve">u</m:t>
          </m:r>
          <m:r>
            <m:t xml:space="preserve">.</m:t>
          </m:r>
          <m:r>
            <m:t xml:space="preserve">t</m:t>
          </m:r>
          <m:r>
            <m:t xml:space="preserve">.</m:t>
          </m:r>
          <m:r>
            <m:t xml:space="preserve">a</m:t>
          </m:r>
          <m:r>
            <m:t xml:space="preserve">.</m:t>
          </m:r>
        </m:oMath>
      </m:oMathPara>
    </w:p>
    <w:p>
      <w:pPr>
        <w:pStyle w:val="Normal"/>
        <w:spacing w:lineRule="auto" w:line="240" w:before="0" w:after="0"/>
        <w:rPr>
          <w:rFonts w:ascii="Arial" w:hAnsi="Arial" w:cs="Arial"/>
          <w:bCs/>
          <w:color w:val="2123FF"/>
          <w:sz w:val="18"/>
          <w:szCs w:val="18"/>
          <w:lang w:eastAsia="fr-FR"/>
        </w:rPr>
      </w:pPr>
      <w:r>
        <w:rPr>
          <w:rFonts w:cs="Arial" w:ascii="Arial" w:hAnsi="Arial"/>
          <w:bCs/>
          <w:color w:val="2123FF"/>
          <w:sz w:val="18"/>
          <w:szCs w:val="18"/>
          <w:lang w:eastAsia="fr-FR"/>
        </w:rPr>
      </w:r>
    </w:p>
    <w:p>
      <w:pPr>
        <w:pStyle w:val="Normal"/>
        <w:spacing w:lineRule="auto" w:line="240" w:before="0" w:after="0"/>
        <w:rPr>
          <w:rFonts w:ascii="Arial" w:hAnsi="Arial" w:cs="Arial"/>
          <w:bCs/>
          <w:color w:val="2123FF"/>
          <w:sz w:val="18"/>
          <w:szCs w:val="18"/>
          <w:lang w:eastAsia="fr-FR"/>
        </w:rPr>
      </w:pPr>
      <w:r>
        <w:rPr>
          <w:rFonts w:cs="Arial" w:ascii="Arial" w:hAnsi="Arial"/>
          <w:bCs/>
          <w:color w:val="2123FF"/>
          <w:sz w:val="18"/>
          <w:szCs w:val="18"/>
          <w:lang w:eastAsia="fr-FR"/>
        </w:rPr>
        <w:t>On ne peut pas déterminer la nature des noyaux radioactifs du fait de la particularité de l’unité admise comme unité de mesure du temps.</w:t>
      </w:r>
    </w:p>
    <w:sectPr>
      <w:footerReference w:type="even" r:id="rId13"/>
      <w:footerReference w:type="default" r:id="rId14"/>
      <w:footerReference w:type="first" r:id="rId15"/>
      <w:type w:val="nextPage"/>
      <w:pgSz w:w="11906" w:h="16838"/>
      <w:pgMar w:left="851" w:right="851" w:gutter="0" w:header="0" w:top="851" w:footer="567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entury Gothic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Symbol">
    <w:charset w:val="01" w:characterSet="utf-8"/>
    <w:family w:val="roman"/>
    <w:pitch w:val="variable"/>
  </w:font>
  <w:font w:name="Edwardian Script ITC"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/>
    </w:pPr>
    <w:r>
      <w:rPr/>
      <w:t>_____________________________________________________________________________________________</w:t>
    </w:r>
  </w:p>
  <w:p>
    <w:pPr>
      <w:pStyle w:val="Footer"/>
      <w:tabs>
        <w:tab w:val="clear" w:pos="9072"/>
        <w:tab w:val="center" w:pos="4536" w:leader="none"/>
        <w:tab w:val="right" w:pos="10206" w:leader="none"/>
      </w:tabs>
      <w:rPr>
        <w:sz w:val="16"/>
        <w:szCs w:val="16"/>
      </w:rPr>
    </w:pPr>
    <w:r>
      <w:rPr>
        <w:rFonts w:cs="Arial" w:ascii="Arial" w:hAnsi="Arial"/>
        <w:sz w:val="16"/>
        <w:szCs w:val="16"/>
      </w:rPr>
      <w:t>GT Spécialité Physique-Chimie de la voie générale – Académie de Strasbourg</w:t>
    </w:r>
    <w:r>
      <w:rPr>
        <w:rFonts w:ascii="Edwardian Script ITC" w:hAnsi="Edwardian Script ITC"/>
        <w:sz w:val="16"/>
        <w:szCs w:val="16"/>
      </w:rPr>
      <w:tab/>
    </w:r>
    <w:r>
      <w:rPr>
        <w:rFonts w:cs="Arial" w:ascii="Arial" w:hAnsi="Arial"/>
        <w:sz w:val="16"/>
        <w:szCs w:val="16"/>
      </w:rPr>
      <w:t xml:space="preserve">Page </w:t>
    </w:r>
    <w:r>
      <w:rPr>
        <w:rFonts w:cs="Arial" w:ascii="Arial" w:hAnsi="Arial"/>
        <w:sz w:val="16"/>
        <w:szCs w:val="16"/>
      </w:rPr>
      <w:fldChar w:fldCharType="begin"/>
    </w:r>
    <w:r>
      <w:rPr>
        <w:rFonts w:cs="Arial" w:ascii="Arial" w:hAnsi="Arial"/>
        <w:sz w:val="16"/>
        <w:szCs w:val="16"/>
      </w:rPr>
      <w:instrText xml:space="preserve"> PAGE </w:instrText>
    </w:r>
    <w:r>
      <w:rPr>
        <w:rFonts w:cs="Arial" w:ascii="Arial" w:hAnsi="Arial"/>
        <w:sz w:val="16"/>
        <w:szCs w:val="16"/>
      </w:rPr>
      <w:fldChar w:fldCharType="separate"/>
    </w:r>
    <w:r>
      <w:rPr>
        <w:rFonts w:cs="Arial" w:ascii="Arial" w:hAnsi="Arial"/>
        <w:sz w:val="16"/>
        <w:szCs w:val="16"/>
      </w:rPr>
      <w:t>9</w:t>
    </w:r>
    <w:r>
      <w:rPr>
        <w:rFonts w:cs="Arial" w:ascii="Arial" w:hAnsi="Arial"/>
        <w:sz w:val="16"/>
        <w:szCs w:val="16"/>
      </w:rPr>
      <w:fldChar w:fldCharType="end"/>
    </w:r>
    <w:r>
      <w:rPr>
        <w:rFonts w:cs="Arial" w:ascii="Arial" w:hAnsi="Arial"/>
        <w:sz w:val="16"/>
        <w:szCs w:val="16"/>
      </w:rPr>
      <w:t xml:space="preserve"> / </w:t>
    </w:r>
    <w:r>
      <w:rPr>
        <w:rFonts w:cs="Arial" w:ascii="Arial" w:hAnsi="Arial"/>
        <w:sz w:val="16"/>
        <w:szCs w:val="16"/>
      </w:rPr>
      <w:fldChar w:fldCharType="begin"/>
    </w:r>
    <w:r>
      <w:rPr>
        <w:rFonts w:cs="Arial" w:ascii="Arial" w:hAnsi="Arial"/>
        <w:sz w:val="16"/>
        <w:szCs w:val="16"/>
      </w:rPr>
      <w:instrText xml:space="preserve"> NUMPAGES </w:instrText>
    </w:r>
    <w:r>
      <w:rPr>
        <w:rFonts w:cs="Arial" w:ascii="Arial" w:hAnsi="Arial"/>
        <w:sz w:val="16"/>
        <w:szCs w:val="16"/>
      </w:rPr>
      <w:fldChar w:fldCharType="separate"/>
    </w:r>
    <w:r>
      <w:rPr>
        <w:rFonts w:cs="Arial" w:ascii="Arial" w:hAnsi="Arial"/>
        <w:sz w:val="16"/>
        <w:szCs w:val="16"/>
      </w:rPr>
      <w:t>9</w:t>
    </w:r>
    <w:r>
      <w:rPr>
        <w:rFonts w:cs="Arial" w:ascii="Arial" w:hAnsi="Arial"/>
        <w:sz w:val="16"/>
        <w:szCs w:val="16"/>
      </w:rPr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both"/>
      <w:rPr/>
    </w:pPr>
    <w:r>
      <w:rPr/>
      <w:t>_____________________________________________________________________________________________</w:t>
    </w:r>
  </w:p>
  <w:p>
    <w:pPr>
      <w:pStyle w:val="Footer"/>
      <w:tabs>
        <w:tab w:val="clear" w:pos="9072"/>
        <w:tab w:val="center" w:pos="4536" w:leader="none"/>
        <w:tab w:val="right" w:pos="10206" w:leader="none"/>
      </w:tabs>
      <w:rPr>
        <w:sz w:val="16"/>
        <w:szCs w:val="16"/>
      </w:rPr>
    </w:pPr>
    <w:r>
      <w:rPr>
        <w:rFonts w:cs="Arial" w:ascii="Arial" w:hAnsi="Arial"/>
        <w:sz w:val="16"/>
        <w:szCs w:val="16"/>
      </w:rPr>
      <w:t>GT Spécialité Physique-Chimie de la voie générale – Académie de Strasbourg</w:t>
    </w:r>
    <w:r>
      <w:rPr>
        <w:rFonts w:ascii="Edwardian Script ITC" w:hAnsi="Edwardian Script ITC"/>
        <w:sz w:val="16"/>
        <w:szCs w:val="16"/>
      </w:rPr>
      <w:tab/>
    </w:r>
    <w:r>
      <w:rPr>
        <w:rFonts w:cs="Arial" w:ascii="Arial" w:hAnsi="Arial"/>
        <w:sz w:val="16"/>
        <w:szCs w:val="16"/>
      </w:rPr>
      <w:t xml:space="preserve">Page </w:t>
    </w:r>
    <w:r>
      <w:rPr>
        <w:rFonts w:cs="Arial" w:ascii="Arial" w:hAnsi="Arial"/>
        <w:sz w:val="16"/>
        <w:szCs w:val="16"/>
      </w:rPr>
      <w:fldChar w:fldCharType="begin"/>
    </w:r>
    <w:r>
      <w:rPr>
        <w:rFonts w:cs="Arial" w:ascii="Arial" w:hAnsi="Arial"/>
        <w:sz w:val="16"/>
        <w:szCs w:val="16"/>
      </w:rPr>
      <w:instrText xml:space="preserve"> PAGE </w:instrText>
    </w:r>
    <w:r>
      <w:rPr>
        <w:rFonts w:cs="Arial" w:ascii="Arial" w:hAnsi="Arial"/>
        <w:sz w:val="16"/>
        <w:szCs w:val="16"/>
      </w:rPr>
      <w:fldChar w:fldCharType="separate"/>
    </w:r>
    <w:r>
      <w:rPr>
        <w:rFonts w:cs="Arial" w:ascii="Arial" w:hAnsi="Arial"/>
        <w:sz w:val="16"/>
        <w:szCs w:val="16"/>
      </w:rPr>
      <w:t>9</w:t>
    </w:r>
    <w:r>
      <w:rPr>
        <w:rFonts w:cs="Arial" w:ascii="Arial" w:hAnsi="Arial"/>
        <w:sz w:val="16"/>
        <w:szCs w:val="16"/>
      </w:rPr>
      <w:fldChar w:fldCharType="end"/>
    </w:r>
    <w:r>
      <w:rPr>
        <w:rFonts w:cs="Arial" w:ascii="Arial" w:hAnsi="Arial"/>
        <w:sz w:val="16"/>
        <w:szCs w:val="16"/>
      </w:rPr>
      <w:t xml:space="preserve"> / </w:t>
    </w:r>
    <w:r>
      <w:rPr>
        <w:rFonts w:cs="Arial" w:ascii="Arial" w:hAnsi="Arial"/>
        <w:sz w:val="16"/>
        <w:szCs w:val="16"/>
      </w:rPr>
      <w:fldChar w:fldCharType="begin"/>
    </w:r>
    <w:r>
      <w:rPr>
        <w:rFonts w:cs="Arial" w:ascii="Arial" w:hAnsi="Arial"/>
        <w:sz w:val="16"/>
        <w:szCs w:val="16"/>
      </w:rPr>
      <w:instrText xml:space="preserve"> NUMPAGES </w:instrText>
    </w:r>
    <w:r>
      <w:rPr>
        <w:rFonts w:cs="Arial" w:ascii="Arial" w:hAnsi="Arial"/>
        <w:sz w:val="16"/>
        <w:szCs w:val="16"/>
      </w:rPr>
      <w:fldChar w:fldCharType="separate"/>
    </w:r>
    <w:r>
      <w:rPr>
        <w:rFonts w:cs="Arial" w:ascii="Arial" w:hAnsi="Arial"/>
        <w:sz w:val="16"/>
        <w:szCs w:val="16"/>
      </w:rPr>
      <w:t>9</w:t>
    </w:r>
    <w:r>
      <w:rPr>
        <w:rFonts w:cs="Arial" w:ascii="Arial" w:hAnsi="Arial"/>
        <w:sz w:val="16"/>
        <w:szCs w:val="16"/>
      </w:rPr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b/>
        <w:bCs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3aad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En-tteCar" w:customStyle="1">
    <w:name w:val="En-tête Car"/>
    <w:basedOn w:val="DefaultParagraphFont"/>
    <w:uiPriority w:val="99"/>
    <w:qFormat/>
    <w:rsid w:val="00eb6d57"/>
    <w:rPr>
      <w:rFonts w:ascii="Calibri" w:hAnsi="Calibri" w:eastAsia="Calibri" w:cs="Times New Roman"/>
    </w:rPr>
  </w:style>
  <w:style w:type="character" w:styleId="PieddepageCar" w:customStyle="1">
    <w:name w:val="Pied de page Car"/>
    <w:basedOn w:val="DefaultParagraphFont"/>
    <w:qFormat/>
    <w:rsid w:val="00eb6d57"/>
    <w:rPr>
      <w:rFonts w:ascii="Calibri" w:hAnsi="Calibri" w:eastAsia="Calibri" w:cs="Times New Roman"/>
    </w:rPr>
  </w:style>
  <w:style w:type="character" w:styleId="PlaceholderText">
    <w:name w:val="Placeholder Text"/>
    <w:basedOn w:val="DefaultParagraphFont"/>
    <w:uiPriority w:val="99"/>
    <w:semiHidden/>
    <w:rsid w:val="00a310d3"/>
    <w:rPr>
      <w:color w:val="80808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 Devanagari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ListParagraph">
    <w:name w:val="List Paragraph"/>
    <w:basedOn w:val="Normal"/>
    <w:uiPriority w:val="34"/>
    <w:qFormat/>
    <w:rsid w:val="00eb6d57"/>
    <w:pPr>
      <w:spacing w:before="0" w:after="200"/>
      <w:ind w:start="720"/>
      <w:contextualSpacing/>
    </w:pPr>
    <w:rPr/>
  </w:style>
  <w:style w:type="paragraph" w:styleId="En-tteetpieddepageuser" w:customStyle="1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eb6d5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nhideWhenUsed/>
    <w:rsid w:val="00eb6d5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En-ttediscipline" w:customStyle="1">
    <w:name w:val="En-tête_discipline"/>
    <w:basedOn w:val="Normal"/>
    <w:next w:val="Normal"/>
    <w:uiPriority w:val="99"/>
    <w:qFormat/>
    <w:rsid w:val="00eb6d57"/>
    <w:pPr>
      <w:spacing w:lineRule="auto" w:line="240" w:before="500" w:after="360"/>
      <w:jc w:val="end"/>
    </w:pPr>
    <w:rPr>
      <w:rFonts w:ascii="Century Gothic" w:hAnsi="Century Gothic" w:eastAsia="Times New Roman"/>
      <w:color w:val="8453C6"/>
      <w:sz w:val="36"/>
      <w:szCs w:val="20"/>
      <w:lang w:eastAsia="fr-FR"/>
    </w:rPr>
  </w:style>
  <w:style w:type="paragraph" w:styleId="En-tteprogramme" w:customStyle="1">
    <w:name w:val="En-tête programme"/>
    <w:basedOn w:val="Normal"/>
    <w:next w:val="Normal"/>
    <w:uiPriority w:val="99"/>
    <w:qFormat/>
    <w:rsid w:val="00eb6d57"/>
    <w:pPr>
      <w:pBdr>
        <w:bottom w:val="single" w:sz="4" w:space="1" w:color="8453C6"/>
      </w:pBdr>
      <w:spacing w:lineRule="auto" w:line="240" w:before="0" w:after="0"/>
      <w:jc w:val="end"/>
    </w:pPr>
    <w:rPr>
      <w:rFonts w:ascii="Century Gothic" w:hAnsi="Century Gothic" w:eastAsia="Times New Roman"/>
      <w:color w:val="3229A7"/>
      <w:sz w:val="20"/>
      <w:szCs w:val="20"/>
      <w:lang w:eastAsia="fr-FR"/>
    </w:rPr>
  </w:style>
  <w:style w:type="paragraph" w:styleId="Contenudecadreuser" w:customStyle="1">
    <w:name w:val="Contenu de cadre (user)"/>
    <w:basedOn w:val="Normal"/>
    <w:qFormat/>
    <w:pPr/>
    <w:rPr/>
  </w:style>
  <w:style w:type="paragraph" w:styleId="NormalWeb">
    <w:name w:val="Normal (Web)"/>
    <w:basedOn w:val="Normal"/>
    <w:uiPriority w:val="99"/>
    <w:semiHidden/>
    <w:rsid w:val="00701d29"/>
    <w:pPr>
      <w:suppressAutoHyphens w:val="false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Contenudecadre">
    <w:name w:val="Contenu de cadre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920d28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1.png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2.png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oter" Target="footer3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Collabora_Office/25.04.8.3$Linux_X86_64 LibreOffice_project/9b4357e5e7d2aea36bb0c44c25e7b4e3c8b3ba0b</Application>
  <AppVersion>15.0000</AppVersion>
  <Pages>9</Pages>
  <Words>1386</Words>
  <Characters>8108</Characters>
  <CharactersWithSpaces>9553</CharactersWithSpaces>
  <Paragraphs>129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2024-06-14T16:27:00Z</dcterms:created>
  <dc:creator>Christophe WEISSROCK</dc:creator>
  <dc:description/>
  <dc:language>fr-FR</dc:language>
  <cp:lastModifiedBy/>
  <dcterms:modified xsi:type="dcterms:W3CDTF">2026-07-03T17:15:46Z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